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0F766E"/>
          <w:sz w:val="44"/>
        </w:rPr>
        <w:t>Общая врачебная практика (семейная медицина) - кейс 2</w:t>
      </w:r>
    </w:p>
    <w:p>
      <w:pPr>
        <w:jc w:val="center"/>
      </w:pPr>
      <w:r>
        <w:rPr>
          <w:sz w:val="24"/>
        </w:rPr>
        <w:t>Materials for the selected specialty</w:t>
      </w:r>
    </w:p>
    <w:p>
      <w:pPr>
        <w:jc w:val="center"/>
      </w:pPr>
      <w:r>
        <w:rPr>
          <w:i/>
        </w:rPr>
        <w:t>Тип: Кейсы | Образование: Высшее образование | Специализация: Общая врачебная практика (семейная медицина) | Записей: 1 | Кейс: 2 | Вопросов: 12</w:t>
      </w:r>
    </w:p>
    <w:p>
      <w:r>
        <w:br w:type="page"/>
      </w:r>
    </w:p>
    <w:p>
      <w:pPr>
        <w:pStyle w:val="Heading1"/>
      </w:pPr>
      <w:r>
        <w:t>Общая врачебная практика (семейная медицина) - кейс 2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Специализация: </w:t>
      </w:r>
      <w:r>
        <w:t>Общая врачебная практика (семейная медицина)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Больная Ж., 73 лет обратилась в поликлинику.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*</w:t>
        <w:tab/>
        <w:t>на приступы одышки с преимущественным нарушением вдоха и чувства нехватки воздуха при бытовых физических нагрузках,</w:t>
        <w:br/>
        <w:t>*</w:t>
        <w:tab/>
        <w:t>сжимающие боли за грудиной, при бытовых физических нагрузках, продолжающиеся до 10 минут, купирующиеся приемом нитроглицерина в течение 2-3 мин,</w:t>
        <w:br/>
        <w:t>*</w:t>
        <w:tab/>
        <w:t>перебои в работе сердца.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Более 30 лет страдает артериальной гипертензией с подъемами АД до 240/120 мм рт.ст. В течение 12-13 лет периодически беспокоили приступы сжимающих, давящих болей за грудиной, первоначально при значительных физических нагрузках, подъемах АД. Затем толерантность к физической нагрузке стала снижаться. Около 6 лет беспокоят перебои в работе сердца, с этого времени для постоянного приема рекомендованы метопролол 50 мг и аспирин 100 мг. Десять лет страдает сахарным диабетом 2 типа, последние 4 года постоянно принимает пероральные сахароснижающие препараты, диету не соблюдает. В течение последнего полугода приступы одышки и стенокардии нарушают бытовую активность больной, возникают при ходьбе по ровной местности не более 200 м, при подъеме до первого лестничного пролета.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*</w:t>
        <w:tab/>
        <w:t>Росла и развивалась нормально.</w:t>
        <w:br/>
        <w:t>*</w:t>
        <w:tab/>
        <w:t>Работала директором фабрики до 65 лет.</w:t>
        <w:br/>
        <w:t>*</w:t>
        <w:tab/>
        <w:t>Мать больной страдала сахарным диабетом 2 типа, отец – ХОБЛ. Умерли в возрасте более 70 лет.</w:t>
        <w:br/>
        <w:t>*</w:t>
        <w:tab/>
        <w:t>Замужем. Имеет 2 взрослых детей.</w:t>
        <w:br/>
        <w:t>*</w:t>
        <w:tab/>
        <w:t>В возрасте 40 лет перенесла ампутацию матки с придатками по поводу миомы.</w:t>
        <w:br/>
        <w:t>*</w:t>
        <w:tab/>
        <w:t>Не курит. Алкоголь не употребляет.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Состояние средней тяжести. Рост 165 см, вес 105 кг, окружность талии 102 см, ИМТ - 38,57 кг/м². На коже верхних век плоские, слегка возвышающиеся образования жёлтого цвета. В легких дыхание везикулярное, хрипов нет. ЧД 18 в минуту. Границы сердца расширены вверх до II межреберья, влево до левой переднее-подмышечной линии. Тоны сердца приглушены, аритмичны. ЧСС 90 в мин. Пульс удовлетворительного наполнения, напряжен, 84 в минуту. Дефицит пульса около 6 в мин. АД 160/90 ммрт.ст. Живот увеличен за счет подкожной клетчатки, при пальпации мягкий, безболезненный. Размеры печени по Курлову 12x10x9 см. Почки не пальпируются. Стул, диурез в норме.</w:t>
      </w:r>
    </w:p>
    <w:p>
      <w:pPr>
        <w:pStyle w:val="Heading2"/>
      </w:pPr>
      <w:r>
        <w:t>1. План обследования</w:t>
      </w:r>
    </w:p>
    <w:p>
      <w:r>
        <w:rPr>
          <w:b/>
          <w:color w:val="0F766E"/>
        </w:rPr>
        <w:t>1. Вопрос</w:t>
      </w:r>
    </w:p>
    <w:p>
      <w:r>
        <w:rPr>
          <w:b w:val="0"/>
          <w:i w:val="0"/>
        </w:rPr>
        <w:t>Необходимыми для постановки диагноза лабораторными методами обследования являются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генетическое исследование для выявления мутации в генах, кодирующих белки цитоскелета кардиомиоцитов (ламины, десмин)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клинический анализ крови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общий анализ мокроты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уровень натрийуретических пептидов</w:t>
      </w:r>
    </w:p>
    <w:p>
      <w:pPr>
        <w:pStyle w:val="ListBullet"/>
      </w:pPr>
      <w:r>
        <w:rPr>
          <w:b/>
        </w:rPr>
        <w:t xml:space="preserve">5. </w:t>
      </w:r>
      <w:r>
        <w:rPr>
          <w:b/>
          <w:i w:val="0"/>
          <w:color w:val="0F766E"/>
          <w:highlight w:val="yellow"/>
        </w:rPr>
        <w:t>биохимический анализ крови</w:t>
      </w:r>
    </w:p>
    <w:p>
      <w:pPr>
        <w:pStyle w:val="ListBullet"/>
      </w:pPr>
      <w:r>
        <w:rPr>
          <w:b/>
        </w:rPr>
        <w:t xml:space="preserve">6. </w:t>
      </w:r>
      <w:r>
        <w:rPr>
          <w:b w:val="0"/>
          <w:i w:val="0"/>
        </w:rPr>
        <w:t>бензидиновая проба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Правильные ответы: </w:t>
      </w:r>
      <w:r>
        <w:rPr>
          <w:b/>
          <w:i w:val="0"/>
        </w:rPr>
        <w:t>клинический анализ крови; уровень натрийуретических пептидов; биохимический анализ крови</w:t>
      </w:r>
    </w:p>
    <w:p>
      <w:pPr>
        <w:ind w:left="504"/>
      </w:pPr>
      <w:r>
        <w:rPr>
          <w:b w:val="0"/>
          <w:i/>
        </w:rPr>
        <w:t>Всем пациентам с ИБС или подозрением на нее при первичном обращении рекомендуется проводить общий (клинический) анализ крови, развернутый с измерением уровня гемоглобина, числа эритроцитов и лейкоцитов для исключения возможных сопутствующих заболеваний, а также вторичного характера возникновения стенокардии.</w:t>
        <w:br/>
        <w:br/>
      </w:r>
      <w:hyperlink r:id="rId9">
        <w:r>
          <w:rPr>
            <w:color w:val="0F766E"/>
            <w:u w:val="single"/>
          </w:rPr>
          <w:t>Клинические рекомендации Минздрава России. Стабильная ишемическая болезнь сердца, 2024 г.</w:t>
        </w:r>
      </w:hyperlink>
      <w:r>
        <w:rPr>
          <w:b w:val="0"/>
          <w:i/>
        </w:rPr>
        <w:br/>
        <w:br/>
      </w:r>
      <w:hyperlink r:id="rId10">
        <w:r>
          <w:rPr>
            <w:color w:val="0F766E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Всем пациентам с предполагаемым диагнозом ХСН рекомендуется исследование уровня мозгового натрийуретического пептида (BNP) или N-концевого пропептида натрийуретического гормона (В-типа) (NT-proBNP) в крови.</w:t>
        <w:br/>
        <w:br/>
      </w:r>
      <w:hyperlink r:id="rId11">
        <w:r>
          <w:rPr>
            <w:color w:val="0F766E"/>
            <w:u w:val="single"/>
          </w:rPr>
          <w:t>Клинические рекомендации Минздрава России. Хроническая сердечная недостаточность, 2024 г.</w:t>
        </w:r>
      </w:hyperlink>
      <w:r>
        <w:rPr>
          <w:b w:val="0"/>
          <w:i/>
        </w:rPr>
        <w:br/>
        <w:br/>
      </w:r>
      <w:hyperlink r:id="rId12">
        <w:r>
          <w:rPr>
            <w:color w:val="0F766E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Всем пациентам с ИБС или подозрением на нее рекомендуется провести анализ крови для оценки нарушений липидного обмена, биохимический (анализ крови биохимический общетерапевтический), включая исследование уровня общего исследование уровня холестерина в крови, исследование уровня холестерина липопротеидов низкой плотности (ХсЛНП), исследование уровня триглицеридов (ТГ), холестерина липопротеинов высокой плотности в крови (ХcЛПВП) с целью выявления фактора риска и, при необходимости, коррекции терапии.</w:t>
        <w:br/>
        <w:br/>
      </w:r>
      <w:hyperlink r:id="rId9">
        <w:r>
          <w:rPr>
            <w:color w:val="0F766E"/>
            <w:u w:val="single"/>
          </w:rPr>
          <w:t>Клинические рекомендации Минздрава России. Стабильная ишемическая болезнь сердца, 2024 г.</w:t>
        </w:r>
      </w:hyperlink>
      <w:r>
        <w:rPr>
          <w:b w:val="0"/>
          <w:i/>
        </w:rPr>
        <w:br/>
        <w:br/>
      </w:r>
      <w:hyperlink r:id="rId13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2. Вопрос</w:t>
      </w:r>
    </w:p>
    <w:p>
      <w:r>
        <w:rPr>
          <w:b w:val="0"/>
          <w:i w:val="0"/>
        </w:rPr>
        <w:t>Необходимыми для постановки диагноза инструментальными методами обследования являются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Эхо-КГ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УЗИ почек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спирометрия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ЭГДС</w:t>
      </w:r>
    </w:p>
    <w:p>
      <w:pPr>
        <w:pStyle w:val="ListBullet"/>
      </w:pPr>
      <w:r>
        <w:rPr>
          <w:b/>
        </w:rPr>
        <w:t xml:space="preserve">5. </w:t>
      </w:r>
      <w:r>
        <w:rPr>
          <w:b/>
          <w:i w:val="0"/>
          <w:color w:val="0F766E"/>
          <w:highlight w:val="yellow"/>
        </w:rPr>
        <w:t>ЭКГ в 12 отведениях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Правильные ответы: </w:t>
      </w:r>
      <w:r>
        <w:rPr>
          <w:b/>
          <w:i w:val="0"/>
        </w:rPr>
        <w:t>Эхо-КГ; ЭКГ в 12 отведениях</w:t>
      </w:r>
    </w:p>
    <w:p>
      <w:pPr>
        <w:ind w:left="504"/>
      </w:pPr>
      <w:r>
        <w:rPr>
          <w:b w:val="0"/>
          <w:i/>
        </w:rPr>
        <w:t>Трансторакальная эхокардиография (ЭхоКГ) в состоянии покоя с использованием допплеровских режимов рекомендована всем пациентам с подозрением на ИБС для:</w:t>
        <w:br/>
        <w:br/>
        <w:t>1) исключения других причин боли в грудной клетке;</w:t>
        <w:br/>
        <w:br/>
        <w:t>2) выявления нарушений локальной сократимости (НЛС) левого желудочка;</w:t>
        <w:br/>
        <w:br/>
        <w:t>3) измерения фракции выброса (ФВ) ЛЖ;</w:t>
        <w:br/>
        <w:br/>
        <w:t>4) оценки диастолической функции ЛЖ;</w:t>
        <w:br/>
        <w:br/>
        <w:t>5) выявления патологии клапанного аппарата сердца.</w:t>
        <w:br/>
        <w:br/>
      </w:r>
      <w:hyperlink r:id="rId9">
        <w:r>
          <w:rPr>
            <w:color w:val="0F766E"/>
            <w:u w:val="single"/>
          </w:rPr>
          <w:t>Клинические рекомендации Минздрава России. Стабильная ишемическая болезнь сердца, 2024 г.</w:t>
        </w:r>
      </w:hyperlink>
      <w:r>
        <w:rPr>
          <w:b w:val="0"/>
          <w:i/>
        </w:rPr>
        <w:br/>
        <w:br/>
      </w:r>
      <w:hyperlink r:id="rId14">
        <w:r>
          <w:rPr>
            <w:color w:val="0F766E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Регистрация 12-канальной электрокардиограммы (ЭКГ) в покое и расшифровка, описание и интерпретация электрокардиографических данных рекомендована всем пациентам с подозрением на ИБС для выявления признаков ишемии в покое (в том числе, безболевой ишемии миокарда), а также возможного наличия зубца Q, сопутствующих нарушений ритма и проводимости сердца.</w:t>
        <w:br/>
        <w:br/>
      </w:r>
      <w:hyperlink r:id="rId9">
        <w:r>
          <w:rPr>
            <w:color w:val="0F766E"/>
            <w:u w:val="single"/>
          </w:rPr>
          <w:t>Клинические рекомендации Минздрава России. Стабильная ишемическая болезнь сердца, 2024 г.</w:t>
        </w:r>
      </w:hyperlink>
      <w:r>
        <w:rPr>
          <w:b w:val="0"/>
          <w:i/>
        </w:rPr>
        <w:br/>
        <w:br/>
      </w:r>
      <w:hyperlink r:id="rId15">
        <w:r>
          <w:rPr>
            <w:color w:val="0F766E"/>
            <w:u w:val="single"/>
          </w:rPr>
          <w:t>(1)</w:t>
        </w:r>
      </w:hyperlink>
    </w:p>
    <w:p>
      <w:pPr>
        <w:pStyle w:val="Heading2"/>
      </w:pPr>
      <w:r>
        <w:t>2. Диагноз</w:t>
      </w:r>
    </w:p>
    <w:p>
      <w:r>
        <w:rPr>
          <w:b/>
          <w:color w:val="0F766E"/>
        </w:rPr>
        <w:t>3. Вопрос</w:t>
      </w:r>
    </w:p>
    <w:p>
      <w:r>
        <w:rPr>
          <w:b w:val="0"/>
          <w:i w:val="0"/>
        </w:rPr>
        <w:t>На основании жалоб, анамнеза, результатов инструментального и лабораторного обследования может быть установлен диагноз основного заболевания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Гастроэзофагеальная рефлюксная болезнь с пищеводными и непищеводными проявлениями. Эрозивный рефлюксный эзофагит. Недостаточность кардии. Аксиальная грыжа пищеводного отверстия диафрагмы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Хроническая обструктивная болезнь легких, бронхитический фенотип, тяжелой степени (III cтадия), обострение. Хроническое легочное сердце II ФК. Дыхательная недостаточность III ст. Вторичные тракционные бронхоэктазы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Распространенный остеохондроз позвоночника, первичный, медленно прогрессирующий с вторичным корешковым синдромом, часто рецидивирующее течение. Хроническая дорсопатия, торакалгия, умеренные болевые ощущения. Спондилоартроз шейного и грудного отделов. Плечелопаточный периартрит. Мышечно-тонический синдром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ИБС: стабильная стенокардия III ФК. Гипертоническая болезнь III стадии,  неконтролируемая артериальная гипертензия, очень высокого риска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ИБС: стабильная стенокардия III ФК. Гипертоническая болезнь III стадии,  неконтролируемая артериальная гипертензия, очень высокого риска</w:t>
      </w:r>
    </w:p>
    <w:p>
      <w:pPr>
        <w:ind w:left="504"/>
      </w:pPr>
      <w:r>
        <w:rPr>
          <w:b w:val="0"/>
          <w:i/>
        </w:rPr>
        <w:t>Диагноз ишемической болезни сердца (ИБС) устанавливается на основании:</w:t>
        <w:br/>
        <w:br/>
        <w:t>1.) Совокупности жалоб (клиника стенокардии – стабильной или нестабильной),</w:t>
        <w:br/>
        <w:br/>
        <w:t>2.) Данных анамнеза (наличие факторов сердечно-сосудистого риска, приводящих к развитию атеросклероза),</w:t>
        <w:br/>
        <w:br/>
        <w:t>3.) Выявления с помощью диагностических методов обследования (нагрузочных и визуализирующих тестов) скрытой коронарной недостаточности на вероятного коронарного атеросклероза (ишемии миокарда)</w:t>
        <w:br/>
        <w:br/>
      </w:r>
      <w:hyperlink r:id="rId9">
        <w:r>
          <w:rPr>
            <w:color w:val="0F766E"/>
            <w:u w:val="single"/>
          </w:rPr>
          <w:t>Клинические рекомендации Минздрава России. Стабильная ишемическая болезнь сердца, 2024 г.</w:t>
        </w:r>
      </w:hyperlink>
      <w:r>
        <w:rPr>
          <w:b w:val="0"/>
          <w:i/>
        </w:rPr>
        <w:br/>
        <w:br/>
      </w:r>
      <w:hyperlink r:id="rId16">
        <w:r>
          <w:rPr>
            <w:color w:val="0F766E"/>
            <w:u w:val="single"/>
          </w:rPr>
          <w:t>(1)</w:t>
        </w:r>
      </w:hyperlink>
      <w:r>
        <w:rPr>
          <w:b w:val="0"/>
          <w:i/>
        </w:rPr>
        <w:br/>
        <w:br/>
        <w:t>Болевой синдром в грудной клетке (характер боли, продолжительность, провоцирующие факторы) соответствует критериям стабильной стенокардии III ФК. Приступы инспираторной одышки у больной с сахарным диабетом могут быть безболевыми эквивалентами стенокардии или проявлением ХСН.</w:t>
        <w:br/>
        <w:br/>
      </w:r>
      <w:hyperlink r:id="rId17">
        <w:r>
          <w:rPr>
            <w:color w:val="0F766E"/>
            <w:u w:val="single"/>
          </w:rPr>
          <w:t>(2)</w:t>
        </w:r>
      </w:hyperlink>
      <w:r>
        <w:rPr>
          <w:b w:val="0"/>
          <w:i/>
        </w:rPr>
        <w:br/>
        <w:br/>
        <w:t>Атеросклероз коронарных артерий: стеноз ствола ЛКА более 50% или одной или нескольких крупных коронарных артерий более 70% (наряду с вазоспазмом и микрососудистой дисфункцией) является типичным морфологическим субстратом для развития ИБС у пациентки с ФР (женщина старше 65 лет с артериальной гипертензией и сахарным диабетом).</w:t>
        <w:br/>
        <w:br/>
      </w:r>
      <w:hyperlink r:id="rId18">
        <w:r>
          <w:rPr>
            <w:color w:val="0F766E"/>
            <w:u w:val="single"/>
          </w:rPr>
          <w:t>(3)</w:t>
        </w:r>
      </w:hyperlink>
      <w:r>
        <w:rPr>
          <w:b w:val="0"/>
          <w:i/>
        </w:rPr>
        <w:br/>
        <w:br/>
        <w:t>Приступы инспираторной одышки следует рассматривать как проявление ХСН (имеются морфологические изменения сердца с выраженной ГЛЖ и нарушениями релаксации), а также высокие Значения NT-proBNP.</w:t>
        <w:br/>
        <w:br/>
      </w:r>
      <w:hyperlink r:id="rId11">
        <w:r>
          <w:rPr>
            <w:color w:val="0F766E"/>
            <w:u w:val="single"/>
          </w:rPr>
          <w:t>Клинические рекомендации Минздрава России. Хроническая сердечная недостаточность, 2024 г.</w:t>
        </w:r>
      </w:hyperlink>
      <w:r>
        <w:rPr>
          <w:b w:val="0"/>
          <w:i/>
        </w:rPr>
        <w:br/>
        <w:br/>
      </w:r>
      <w:hyperlink r:id="rId19">
        <w:r>
          <w:rPr>
            <w:color w:val="0F766E"/>
            <w:u w:val="single"/>
          </w:rPr>
          <w:t>(1)</w:t>
        </w:r>
      </w:hyperlink>
      <w:r>
        <w:rPr>
          <w:b w:val="0"/>
          <w:i/>
        </w:rPr>
        <w:br/>
        <w:br/>
        <w:t>Но у больной с сахарным диабетом могут требуют исключения безболевые эквиваленты стенокардии</w:t>
        <w:br/>
        <w:br/>
      </w:r>
      <w:hyperlink r:id="rId9">
        <w:r>
          <w:rPr>
            <w:color w:val="0F766E"/>
            <w:u w:val="single"/>
          </w:rPr>
          <w:t>Клинические рекомендации Минздрава России. Стабильная ишемическая болезнь сердца, 2024 г.</w:t>
        </w:r>
      </w:hyperlink>
      <w:r>
        <w:rPr>
          <w:b w:val="0"/>
          <w:i/>
        </w:rPr>
        <w:br/>
        <w:br/>
      </w:r>
      <w:hyperlink r:id="rId20">
        <w:r>
          <w:rPr>
            <w:color w:val="0F766E"/>
            <w:u w:val="single"/>
          </w:rPr>
          <w:t>(4)</w:t>
        </w:r>
      </w:hyperlink>
      <w:r>
        <w:rPr>
          <w:b w:val="0"/>
          <w:i/>
        </w:rPr>
        <w:br/>
        <w:br/>
        <w:t>На ЭКГ – трепетание предсердий с неправильным проведением.</w:t>
        <w:br/>
        <w:br/>
      </w:r>
      <w:hyperlink r:id="rId21">
        <w:r>
          <w:rPr>
            <w:color w:val="0F766E"/>
            <w:u w:val="single"/>
          </w:rPr>
          <w:t>Клинические рекомендации Минздрава России. Фибрилляция и трепетание предсердий, 2025 г.</w:t>
        </w:r>
      </w:hyperlink>
      <w:r>
        <w:rPr>
          <w:b w:val="0"/>
          <w:i/>
        </w:rPr>
        <w:br/>
        <w:br/>
      </w:r>
      <w:hyperlink r:id="rId22">
        <w:r>
          <w:rPr>
            <w:color w:val="0F766E"/>
            <w:u w:val="single"/>
          </w:rPr>
          <w:t>(1)</w:t>
        </w:r>
      </w:hyperlink>
      <w:r>
        <w:rPr>
          <w:b w:val="0"/>
          <w:i/>
        </w:rPr>
        <w:br/>
        <w:br/>
        <w:t>Развитие НРС напрямую связано с АГ и ИБС у больной</w:t>
        <w:br/>
        <w:br/>
      </w:r>
      <w:hyperlink r:id="rId23">
        <w:r>
          <w:rPr>
            <w:color w:val="0F766E"/>
            <w:u w:val="single"/>
          </w:rPr>
          <w:t>(2)</w:t>
        </w:r>
      </w:hyperlink>
    </w:p>
    <w:p>
      <w:r>
        <w:rPr>
          <w:b/>
          <w:color w:val="0F766E"/>
        </w:rPr>
        <w:t>4. Вопрос</w:t>
      </w:r>
    </w:p>
    <w:p>
      <w:r>
        <w:rPr>
          <w:b w:val="0"/>
          <w:i w:val="0"/>
        </w:rPr>
        <w:t>У больной по данным ЭКГ может быть диагностировано такое нарушение ритма сердца, как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синусовая аритмия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фибрилляция предсердий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пароксизмальная наджелудочковая тахикардия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трепетание предсердий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трепетание предсердий</w:t>
      </w:r>
    </w:p>
    <w:p>
      <w:pPr>
        <w:ind w:left="504"/>
      </w:pPr>
      <w:r>
        <w:rPr>
          <w:b w:val="0"/>
          <w:i/>
        </w:rPr>
        <w:t>На ЭКГ не регистрируются зубцы Р, но регистрируются типичные для ТП «пилообразные» волны F/</w:t>
        <w:br/>
        <w:t>В результате частого ритмичного возбуждения предсердий при их трепетании на ЭКГ регистрируются частые (от 200 до 400 в минуту) регулярные предсердные волны F. Они похожи друг на друга и имеют очень характерную для трепетания предсердий пилообразную форму: пологое нисходящее отрицательное колено и круто поднимающееся положительное колено, непосредственно переходящее одно в другое (рис. 5-16). Расстояния между вершинами предсердных волн (F–F) одинаковы, что говорит о правильном регулярном предсердном ритме. Волны F лучше всего выявляются в отведениях V1,2, II, III и aVF.</w:t>
        <w:br/>
        <w:br/>
        <w:t>Электрокардиография [Электронный ресурс] : учебн. пособие / В.В.Мурашко,А.В.Струтынский. –17-е изд. (эл.). – М.:МЕДпресс-информ, 2021 г.</w:t>
        <w:br/>
        <w:br/>
      </w:r>
      <w:hyperlink r:id="rId24">
        <w:r>
          <w:rPr>
            <w:color w:val="0F766E"/>
            <w:u w:val="single"/>
          </w:rPr>
          <w:t>(1)</w:t>
        </w:r>
      </w:hyperlink>
      <w:r>
        <w:rPr>
          <w:b w:val="0"/>
          <w:i/>
        </w:rPr>
        <w:br/>
        <w:br/>
        <w:t>Разные интервалы RR  позволяют говорить о ТП с неправильным проведением.</w:t>
        <w:br/>
        <w:br/>
      </w:r>
      <w:hyperlink r:id="rId25">
        <w:r>
          <w:rPr>
            <w:color w:val="0F766E"/>
            <w:u w:val="single"/>
          </w:rPr>
          <w:t>(2)</w:t>
        </w:r>
      </w:hyperlink>
    </w:p>
    <w:p>
      <w:r>
        <w:rPr>
          <w:b/>
          <w:color w:val="0F766E"/>
        </w:rPr>
        <w:t>5. Вопрос</w:t>
      </w:r>
    </w:p>
    <w:p>
      <w:r>
        <w:rPr>
          <w:b w:val="0"/>
          <w:i w:val="0"/>
        </w:rPr>
        <w:t>Осложнением основного заболевания является развитие нарушения ритма сердца и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дыхательной недостаточности II ст., легочной гипертензии II ФК NYHA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хронической сердечной недостаточности с умеренно сниженной ФВ, 1 стадии РКО, I ФК NYHA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хронической сердечной недостаточности с сохраненной ФВ, 1 стадии РКО, III ФКNYHA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острой декомпенсированной сердечной недостаточности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хронической сердечной недостаточности с сохраненной ФВ, 1 стадии РКО, III ФКNYHA</w:t>
      </w:r>
    </w:p>
    <w:p>
      <w:pPr>
        <w:ind w:left="504"/>
      </w:pPr>
      <w:r>
        <w:rPr>
          <w:b w:val="0"/>
          <w:i/>
        </w:rPr>
        <w:t>Приступы инспираторной одышки у больной с длительным анамнезом гипертонической болезни и стенокардии следует рассматривать как  проявление ХСН (имеются морфологические изменения сердца с выраженной ГЛЖ и нарушениями релаксации), а также высокие Значения NT-proBNP.</w:t>
        <w:br/>
        <w:br/>
      </w:r>
      <w:hyperlink r:id="rId11">
        <w:r>
          <w:rPr>
            <w:color w:val="0F766E"/>
            <w:u w:val="single"/>
          </w:rPr>
          <w:t>Клинические рекомендации Минздрава России. Хроническая сердечная недостаточность, 2024 г.</w:t>
        </w:r>
      </w:hyperlink>
      <w:r>
        <w:rPr>
          <w:b w:val="0"/>
          <w:i/>
        </w:rPr>
        <w:br/>
        <w:br/>
      </w:r>
      <w:hyperlink r:id="rId19">
        <w:r>
          <w:rPr>
            <w:color w:val="0F766E"/>
            <w:u w:val="single"/>
          </w:rPr>
          <w:t>(1)</w:t>
        </w:r>
      </w:hyperlink>
      <w:r>
        <w:rPr>
          <w:b w:val="0"/>
          <w:i/>
        </w:rPr>
        <w:br/>
        <w:br/>
        <w:t>Уровень ФВ ЛЖ соответствует ХСНсФВ</w:t>
        <w:br/>
        <w:br/>
      </w:r>
      <w:hyperlink r:id="rId26">
        <w:r>
          <w:rPr>
            <w:color w:val="0F766E"/>
            <w:u w:val="single"/>
          </w:rPr>
          <w:t>(2)</w:t>
        </w:r>
      </w:hyperlink>
      <w:r>
        <w:rPr>
          <w:b w:val="0"/>
          <w:i/>
        </w:rPr>
        <w:br/>
        <w:br/>
        <w:t>Тяжесть клинический проявлений соответствует 1 стадии РКО</w:t>
        <w:br/>
        <w:br/>
      </w:r>
      <w:hyperlink r:id="rId27">
        <w:r>
          <w:rPr>
            <w:color w:val="0F766E"/>
            <w:u w:val="single"/>
          </w:rPr>
          <w:t>(3)</w:t>
        </w:r>
      </w:hyperlink>
      <w:r>
        <w:rPr>
          <w:b w:val="0"/>
          <w:i/>
        </w:rPr>
        <w:br/>
        <w:br/>
        <w:t>Уровень переносимых физических нагрузок соответствует IIIФК NYHA</w:t>
        <w:br/>
        <w:br/>
      </w:r>
      <w:hyperlink r:id="rId28">
        <w:r>
          <w:rPr>
            <w:color w:val="0F766E"/>
            <w:u w:val="single"/>
          </w:rPr>
          <w:t>(4)</w:t>
        </w:r>
      </w:hyperlink>
    </w:p>
    <w:p>
      <w:pPr>
        <w:pStyle w:val="Heading2"/>
      </w:pPr>
      <w:r>
        <w:t>3. Лечение</w:t>
      </w:r>
    </w:p>
    <w:p>
      <w:r>
        <w:rPr>
          <w:b/>
          <w:color w:val="0F766E"/>
        </w:rPr>
        <w:t>6. Вопрос</w:t>
      </w:r>
    </w:p>
    <w:p>
      <w:r>
        <w:rPr>
          <w:b w:val="0"/>
          <w:i w:val="0"/>
        </w:rPr>
        <w:t>Препаратами выбора для купирования приступов стенокардии у больной являются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антитромбоцитарные препараты (аспирин)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неселективные бета-адреноблокаторы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пролонгированные нитраты в трансдермальной форме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короткодействующие нитраты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короткодействующие нитраты</w:t>
      </w:r>
    </w:p>
    <w:p>
      <w:pPr>
        <w:ind w:left="504"/>
      </w:pPr>
      <w:r>
        <w:rPr>
          <w:b w:val="0"/>
          <w:i/>
        </w:rPr>
        <w:t>Для устранения непосредственно приступа стабильной стенокардии (обезболивания) рекомендуется назначить органические нитраты короткого действия (нитроглицерин).</w:t>
        <w:br/>
        <w:br/>
      </w:r>
      <w:hyperlink r:id="rId9">
        <w:r>
          <w:rPr>
            <w:color w:val="0F766E"/>
            <w:u w:val="single"/>
          </w:rPr>
          <w:t>Клинические рекомендации Минздрава России. Стабильная ишемическая болезнь сердца, 2024 г.</w:t>
        </w:r>
      </w:hyperlink>
      <w:r>
        <w:rPr>
          <w:b w:val="0"/>
          <w:i/>
        </w:rPr>
        <w:br/>
        <w:br/>
      </w:r>
      <w:hyperlink r:id="rId29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7. Вопрос</w:t>
      </w:r>
    </w:p>
    <w:p>
      <w:r>
        <w:rPr>
          <w:b w:val="0"/>
          <w:i w:val="0"/>
        </w:rPr>
        <w:t>Адекватной антиангинальной терапией в данном случае будет назначение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комбинации метопролола и амлодипина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монотерапии пролонгированным нитратом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комбинации верапамила и амлодипина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комбинации метопролола и верапамила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комбинации метопролола и амлодипина</w:t>
      </w:r>
    </w:p>
    <w:p>
      <w:pPr>
        <w:ind w:left="504"/>
      </w:pPr>
      <w:r>
        <w:rPr>
          <w:b w:val="0"/>
          <w:i/>
        </w:rPr>
        <w:t>При стабильной стенокардии III—IV ФК при отсутствии противопоказаний рекомендуется сразу назначить комбинацию БАБ с дигидропиридиновыми блокаторами «медленных» кальциевых каналов (ДГП-БКК) для достижения ФК I.</w:t>
        <w:br/>
        <w:br/>
      </w:r>
      <w:hyperlink r:id="rId9">
        <w:r>
          <w:rPr>
            <w:color w:val="0F766E"/>
            <w:u w:val="single"/>
          </w:rPr>
          <w:t>Клинические рекомендации Минздрава России. Стабильная ишемическая болезнь сердца, 2024 г.</w:t>
        </w:r>
      </w:hyperlink>
      <w:r>
        <w:rPr>
          <w:b w:val="0"/>
          <w:i/>
        </w:rPr>
        <w:br/>
        <w:br/>
      </w:r>
      <w:hyperlink r:id="rId30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8. Вопрос</w:t>
      </w:r>
    </w:p>
    <w:p>
      <w:r>
        <w:rPr>
          <w:b w:val="0"/>
          <w:i w:val="0"/>
        </w:rPr>
        <w:t>Кардиотропная терапия больной ИБС, страдающей гипертонической болезнью и сахарным диабетом, наряду с бета-адреноблокаторами и блокаторами кальциевых каналов, должна включать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альфа-адреноблокаторы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ингибиторы АПФ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агонисты имидазолиновых рецепторов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антиагреганты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ингибиторы АПФ</w:t>
      </w:r>
    </w:p>
    <w:p>
      <w:pPr>
        <w:ind w:left="504"/>
      </w:pPr>
      <w:r>
        <w:rPr>
          <w:b w:val="0"/>
          <w:i/>
        </w:rPr>
        <w:t>Лечение пациентов при сопутствующем СД включает ингибитор ангиотензинпревращающего фермента (иАПФ) или антагонист рецепторов к ангиотензину II. Получены данные, свидетельствующие о благоприятном воздействии на течение ИБС, в том числе у лиц, перенесших инфаркт миокарда, а также имеющих сердечную недостаточность с низкой и сохраненной фракцией выброса и/или хроническую болезнь почек (при СКФ&gt;45 мл/мин/1,73 м2), ингибиторов натрий зависимого котранспортера глюкозы 2-го типа (SGLT2) – дапаглифлоцина и эмпаглифлозина. У пациентов с сочетанием ИБС и сахарного диабета 2-го типа терапия аналогами глюкагоноподобного пептида-1 сопровождается снижением риска ССО.</w:t>
        <w:br/>
        <w:br/>
      </w:r>
      <w:hyperlink r:id="rId9">
        <w:r>
          <w:rPr>
            <w:color w:val="0F766E"/>
            <w:u w:val="single"/>
          </w:rPr>
          <w:t>Клинические рекомендации Минздрава России. Стабильная ишемическая болезнь сердца, 2024 г.</w:t>
        </w:r>
      </w:hyperlink>
      <w:r>
        <w:rPr>
          <w:b w:val="0"/>
          <w:i/>
        </w:rPr>
        <w:br/>
        <w:br/>
      </w:r>
      <w:hyperlink r:id="rId31">
        <w:r>
          <w:rPr>
            <w:color w:val="0F766E"/>
            <w:u w:val="single"/>
          </w:rPr>
          <w:t>(1)</w:t>
        </w:r>
      </w:hyperlink>
      <w:r>
        <w:rPr>
          <w:b w:val="0"/>
          <w:i/>
        </w:rPr>
        <w:br/>
        <w:br/>
        <w:t>Всем пациентам с АГ и СД рекомендуется начинать лечение с комбинации иРААС с АК или тиазидным/тиазидоподобным диуретиком в связи с наилучшим влиянием этих комбинаций на частоту достижения целевого АД и снижение СС риска, а также нефропротективным потенциалом иРААС</w:t>
        <w:br/>
        <w:br/>
      </w:r>
      <w:hyperlink r:id="rId32">
        <w:r>
          <w:rPr>
            <w:color w:val="0F766E"/>
            <w:u w:val="single"/>
          </w:rPr>
          <w:t>Клинические рекомендации Минздрава России. Артериальная гипертензия у взрослых, 2024 г.</w:t>
        </w:r>
      </w:hyperlink>
      <w:r>
        <w:rPr>
          <w:b w:val="0"/>
          <w:i/>
        </w:rPr>
        <w:br/>
        <w:br/>
      </w:r>
      <w:hyperlink r:id="rId33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9. Вопрос</w:t>
      </w:r>
    </w:p>
    <w:p>
      <w:r>
        <w:rPr>
          <w:b w:val="0"/>
          <w:i w:val="0"/>
        </w:rPr>
        <w:t>Целевые значения ЛПНП у данной больной при назначении ей статинов составляют +_________+ ммоль/л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менее 1,4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менее 3,0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менее 1,0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более 5,0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менее 1,4</w:t>
      </w:r>
    </w:p>
    <w:p>
      <w:pPr>
        <w:ind w:left="504"/>
      </w:pPr>
      <w:r>
        <w:rPr>
          <w:b w:val="0"/>
          <w:i/>
        </w:rPr>
        <w:t>Для профилактики ССО всем пациентам со стабильной ИБС рекомендуется назначить ингибиторы ГМГ-КоА-редуктазы (статины) в максимально переносимой дозировке до достижения целевого уровня ХсЛНП (&lt;1,4 ммоль/л) и его снижения на 50% от исходного уровня.</w:t>
        <w:br/>
        <w:br/>
      </w:r>
      <w:hyperlink r:id="rId9">
        <w:r>
          <w:rPr>
            <w:color w:val="0F766E"/>
            <w:u w:val="single"/>
          </w:rPr>
          <w:t>Клинические рекомендации Минздрава России. Стабильная ишемическая болезнь сердца, 2024 г.</w:t>
        </w:r>
      </w:hyperlink>
      <w:r>
        <w:rPr>
          <w:b w:val="0"/>
          <w:i/>
        </w:rPr>
        <w:br/>
        <w:br/>
      </w:r>
      <w:hyperlink r:id="rId34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10. Вопрос</w:t>
      </w:r>
    </w:p>
    <w:p>
      <w:r>
        <w:rPr>
          <w:b w:val="0"/>
          <w:i w:val="0"/>
        </w:rPr>
        <w:t>При недостижении целевых уровней холестерина пациентам со стабильной стенокардией, получающим статины, следует добавить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инклесиран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эзетимиб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никотиновую кислоту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алирокумаб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эзетимиб</w:t>
      </w:r>
    </w:p>
    <w:p>
      <w:pPr>
        <w:ind w:left="504"/>
      </w:pPr>
      <w:r>
        <w:rPr>
          <w:b w:val="0"/>
          <w:i/>
        </w:rPr>
        <w:t>Пациентам, не достигшим целевого уровня ХС ЛНП на фоне максимально переносимых доз статинов (Ингибиторы ГМГ-КоА-редуктазы), следует рассмотреть возможность комбинированной терапии, в том числе статин с эзетимибом, предпочтительно в одной таблетке или капсуле (зарегистрированы розувастатин + эзетимиб и аторвастатин + эзетимиб).</w:t>
        <w:br/>
        <w:br/>
      </w:r>
      <w:hyperlink r:id="rId9">
        <w:r>
          <w:rPr>
            <w:color w:val="0F766E"/>
            <w:u w:val="single"/>
          </w:rPr>
          <w:t>Клинические рекомендации Минздрава России. Стабильная ишемическая болезнь сердца, 2024 г.</w:t>
        </w:r>
      </w:hyperlink>
      <w:r>
        <w:rPr>
          <w:b w:val="0"/>
          <w:i/>
        </w:rPr>
        <w:br/>
        <w:br/>
      </w:r>
      <w:hyperlink r:id="rId35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11. Вопрос</w:t>
      </w:r>
    </w:p>
    <w:p>
      <w:r>
        <w:rPr>
          <w:b w:val="0"/>
          <w:i w:val="0"/>
        </w:rPr>
        <w:t>Для профилактики тромбоэмолических  осложнений данной пациентке показано назначение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прямых оральных антикоагулянтов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препаратов ацетилсалициловой кислоты с магниевым основанием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непрямых оральных антикоагулянтов – ингибиторов витамина К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двойной антитромбоцитарной терапии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прямых оральных антикоагулянтов</w:t>
      </w:r>
    </w:p>
    <w:p>
      <w:pPr>
        <w:ind w:left="504"/>
      </w:pPr>
      <w:r>
        <w:rPr>
          <w:b w:val="0"/>
          <w:i/>
        </w:rPr>
        <w:t>Постоянный прием пероральных антикоагулянтов с целью профилактики ТЭО рекомендован пациентам мужского пола с суммой баллов по шкале CHA2DS2-VASc ≥2 и пациентам женского пола с суммой баллов по шкале CHA2DS2-VASc ≥3.</w:t>
        <w:br/>
        <w:br/>
      </w:r>
      <w:hyperlink r:id="rId21">
        <w:r>
          <w:rPr>
            <w:color w:val="0F766E"/>
            <w:u w:val="single"/>
          </w:rPr>
          <w:t>Клинические рекомендации Минздрава России. Фибрилляция и трепетание предсердий, 2025 г.</w:t>
        </w:r>
      </w:hyperlink>
      <w:r>
        <w:rPr>
          <w:b w:val="0"/>
          <w:i/>
        </w:rPr>
        <w:br/>
        <w:br/>
      </w:r>
      <w:hyperlink r:id="rId36">
        <w:r>
          <w:rPr>
            <w:color w:val="0F766E"/>
            <w:u w:val="single"/>
          </w:rPr>
          <w:t>(1)</w:t>
        </w:r>
      </w:hyperlink>
      <w:r>
        <w:rPr>
          <w:b w:val="0"/>
          <w:i/>
        </w:rPr>
        <w:br/>
        <w:br/>
        <w:t>У нашей больной риск тромбоэмболических осложнений по шкале CHA2DS2-VASc=5 баллов (наличие АГ, СД, возраст 65-74 г, сосудистое заболевание (атерокальциноз аорты) и женский пол.</w:t>
        <w:br/>
        <w:br/>
      </w:r>
      <w:hyperlink r:id="rId37">
        <w:r>
          <w:rPr>
            <w:color w:val="0F766E"/>
            <w:u w:val="single"/>
          </w:rPr>
          <w:t>(2)</w:t>
        </w:r>
      </w:hyperlink>
      <w:r>
        <w:rPr>
          <w:b w:val="0"/>
          <w:i/>
        </w:rPr>
        <w:br/>
        <w:br/>
        <w:t>Пациентам с ФП (за исключением пациентов с механическими протезами клапанов сердца или митральным стенозом умеренной/тяжелой степени), не получавшим ранее антикоагулянтную терапию, в качестве препаратов первой линии рекомендовано назначение апиксабана, или дабигатрана этексилата, или ривароксабана или эдоксабана (при отсутствии противопоказаний к их назначению</w:t>
        <w:br/>
        <w:br/>
      </w:r>
      <w:hyperlink r:id="rId38">
        <w:r>
          <w:rPr>
            <w:color w:val="0F766E"/>
            <w:u w:val="single"/>
          </w:rPr>
          <w:t>(3)</w:t>
        </w:r>
      </w:hyperlink>
    </w:p>
    <w:p>
      <w:r>
        <w:rPr>
          <w:b/>
          <w:color w:val="0F766E"/>
        </w:rPr>
        <w:t>12. Вопрос</w:t>
      </w:r>
    </w:p>
    <w:p>
      <w:r>
        <w:rPr>
          <w:b w:val="0"/>
          <w:i w:val="0"/>
        </w:rPr>
        <w:t>С целью определения степени достижения целевых показателей гликемического контроля и стратификации риска развития осложнений СД пациентке необходимо определить уровень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С-пептид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HbA 1c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эластазы 1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панкреатической амилазы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HbA 1c</w:t>
      </w:r>
    </w:p>
    <w:p>
      <w:pPr>
        <w:ind w:left="504"/>
      </w:pPr>
      <w:r>
        <w:rPr>
          <w:b w:val="0"/>
          <w:i/>
        </w:rPr>
        <w:t>Рекомендуется исследование уровня HbA 1c 1 раз в 3 месяца пациентам с СД 2 с целью определения степени достижения целевых показателей гликемического контроля и стратификации риска развития осложнений СД.</w:t>
        <w:br/>
        <w:br/>
      </w:r>
      <w:hyperlink r:id="rId39">
        <w:r>
          <w:rPr>
            <w:color w:val="0F766E"/>
            <w:u w:val="single"/>
          </w:rPr>
          <w:t>Алгоритмы специализированной медицинской помощи больным сахарным диабетом / Под редакцией И.И. Дедова, М.В. Шестаковой, О.Ю. Сухаревой. – 12-й выпуск. – М.; 2025 г.</w:t>
        </w:r>
      </w:hyperlink>
      <w:r>
        <w:rPr>
          <w:b w:val="0"/>
          <w:i/>
        </w:rPr>
        <w:br/>
        <w:br/>
      </w:r>
      <w:hyperlink r:id="rId40">
        <w:r>
          <w:rPr>
            <w:color w:val="0F766E"/>
            <w:u w:val="single"/>
          </w:rPr>
          <w:t>(1)</w:t>
        </w:r>
      </w:hyperlink>
    </w:p>
    <w:p>
      <w:r>
        <w:drawing>
          <wp:inline xmlns:a="http://schemas.openxmlformats.org/drawingml/2006/main" xmlns:pic="http://schemas.openxmlformats.org/drawingml/2006/picture">
            <wp:extent cx="5303520" cy="2715658"/>
            <wp:docPr id="1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0fa1950cbd7a40d71997da5acb550893d1bf1ab2.png"/>
                    <pic:cNvPicPr/>
                  </pic:nvPicPr>
                  <pic:blipFill>
                    <a:blip r:embed="rId41"/>
                    <a:stretch>
                      <a:fillRect/>
                    </a:stretch>
                  </pic:blipFill>
                  <pic:spPr>
                    <a:xfrm>
                      <a:off x="0" y="0"/>
                      <a:ext cx="5303520" cy="2715658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i/>
        </w:rPr>
        <w:t>Таблица.png</w:t>
      </w:r>
    </w:p>
    <w:sectPr w:rsidR="00FC693F" w:rsidRPr="0006063C" w:rsidSect="00034616"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Calibri" w:hAnsi="Calibri"/>
      <w:b/>
      <w:bCs/>
      <w:color w:val="0F766E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Calibri" w:hAnsi="Calibri"/>
      <w:b/>
      <w:bCs/>
      <w:color w:val="0F766E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Calibri" w:hAnsi="Calibri"/>
      <w:b/>
      <w:bCs/>
      <w:color w:val="0F766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library.mededtech.ru/rest/documents/KP155_24/" TargetMode="External"/><Relationship Id="rId10" Type="http://schemas.openxmlformats.org/officeDocument/2006/relationships/hyperlink" Target="https://library.mededtech.ru/rest/documents/KP155_24/#list_item_f77pd5" TargetMode="External"/><Relationship Id="rId11" Type="http://schemas.openxmlformats.org/officeDocument/2006/relationships/hyperlink" Target="https://library.mededtech.ru/rest/documents/KP156_24/" TargetMode="External"/><Relationship Id="rId12" Type="http://schemas.openxmlformats.org/officeDocument/2006/relationships/hyperlink" Target="https://library.mededtech.ru/rest/documents/KP156_24/#list_item_r3utnq" TargetMode="External"/><Relationship Id="rId13" Type="http://schemas.openxmlformats.org/officeDocument/2006/relationships/hyperlink" Target="https://library.mededtech.ru/rest/documents/KP155_24/#list_item_ike75r" TargetMode="External"/><Relationship Id="rId14" Type="http://schemas.openxmlformats.org/officeDocument/2006/relationships/hyperlink" Target="https://library.mededtech.ru/rest/documents/KP155_24/#list_item_2p39pm" TargetMode="External"/><Relationship Id="rId15" Type="http://schemas.openxmlformats.org/officeDocument/2006/relationships/hyperlink" Target="https://library.mededtech.ru/rest/documents/KP155_24/#list_item_udpfta" TargetMode="External"/><Relationship Id="rId16" Type="http://schemas.openxmlformats.org/officeDocument/2006/relationships/hyperlink" Target="https://library.mededtech.ru/rest/documents/KP155_24/#paragraph_cndd3q" TargetMode="External"/><Relationship Id="rId17" Type="http://schemas.openxmlformats.org/officeDocument/2006/relationships/hyperlink" Target="https://library.mededtech.ru/rest/documents/KP155_24/#table&#1055;&#1040;3-1" TargetMode="External"/><Relationship Id="rId18" Type="http://schemas.openxmlformats.org/officeDocument/2006/relationships/hyperlink" Target="https://library.mededtech.ru/rest/documents/KP155_24/#paragraph_utgs4k" TargetMode="External"/><Relationship Id="rId19" Type="http://schemas.openxmlformats.org/officeDocument/2006/relationships/hyperlink" Target="https://library.mededtech.ru/rest/documents/KP156_24/#paragraph_4s4ojo" TargetMode="External"/><Relationship Id="rId20" Type="http://schemas.openxmlformats.org/officeDocument/2006/relationships/hyperlink" Target="https://library.mededtech.ru/rest/documents/KP155_24/#paragraph_cbu2sq" TargetMode="External"/><Relationship Id="rId21" Type="http://schemas.openxmlformats.org/officeDocument/2006/relationships/hyperlink" Target="https://library.mededtech.ru/rest/documents/KP382_2/" TargetMode="External"/><Relationship Id="rId22" Type="http://schemas.openxmlformats.org/officeDocument/2006/relationships/hyperlink" Target="https://library.mededtech.ru/rest/documents/KP382_2/#paragraph_h088hj" TargetMode="External"/><Relationship Id="rId23" Type="http://schemas.openxmlformats.org/officeDocument/2006/relationships/hyperlink" Target="https://library.mededtech.ru/rest/documents/KP382_2/#paragraph_kce687" TargetMode="External"/><Relationship Id="rId24" Type="http://schemas.openxmlformats.org/officeDocument/2006/relationships/hyperlink" Target="https://library.mededtech.ru/rest/documents/EKG_Mur_2021/?anchor=paragraph_250c34#paragraph_250c34" TargetMode="External"/><Relationship Id="rId25" Type="http://schemas.openxmlformats.org/officeDocument/2006/relationships/hyperlink" Target="https://library.mededtech.ru/rest/documents/EKG_Mur_2021/?anchor=paragraph_dr2d9l#paragraph_dr2d9l" TargetMode="External"/><Relationship Id="rId26" Type="http://schemas.openxmlformats.org/officeDocument/2006/relationships/hyperlink" Target="https://library.mededtech.ru/rest/documents/KP156_24/#list_item_k4okmo" TargetMode="External"/><Relationship Id="rId27" Type="http://schemas.openxmlformats.org/officeDocument/2006/relationships/hyperlink" Target="https://library.mededtech.ru/rest/documents/KP156_24/#paragraph_76m73q" TargetMode="External"/><Relationship Id="rId28" Type="http://schemas.openxmlformats.org/officeDocument/2006/relationships/hyperlink" Target="https://library.mededtech.ru/rest/documents/KP156_24/#list_item_h56ta8" TargetMode="External"/><Relationship Id="rId29" Type="http://schemas.openxmlformats.org/officeDocument/2006/relationships/hyperlink" Target="https://library.mededtech.ru/rest/documents/KP155_24/#list_item_m5f4gh" TargetMode="External"/><Relationship Id="rId30" Type="http://schemas.openxmlformats.org/officeDocument/2006/relationships/hyperlink" Target="https://library.mededtech.ru/rest/documents/KP155_24/#list_item_ar5scq" TargetMode="External"/><Relationship Id="rId31" Type="http://schemas.openxmlformats.org/officeDocument/2006/relationships/hyperlink" Target="https://library.mededtech.ru/rest/documents/KP155_24/#paragraph_ohtudk" TargetMode="External"/><Relationship Id="rId32" Type="http://schemas.openxmlformats.org/officeDocument/2006/relationships/hyperlink" Target="https://library.mededtech.ru/rest/documents/KP62_24/" TargetMode="External"/><Relationship Id="rId33" Type="http://schemas.openxmlformats.org/officeDocument/2006/relationships/hyperlink" Target="https://library.mededtech.ru/rest/documents/KP62_24/#list_item_rag35p" TargetMode="External"/><Relationship Id="rId34" Type="http://schemas.openxmlformats.org/officeDocument/2006/relationships/hyperlink" Target="https://library.mededtech.ru/rest/documents/KP155_24/#list_item_mrogbv" TargetMode="External"/><Relationship Id="rId35" Type="http://schemas.openxmlformats.org/officeDocument/2006/relationships/hyperlink" Target="https://library.mededtech.ru/rest/documents/KP155_24/#list_item_klc6cj" TargetMode="External"/><Relationship Id="rId36" Type="http://schemas.openxmlformats.org/officeDocument/2006/relationships/hyperlink" Target="https://library.mededtech.ru/rest/documents/KP382_2/#list_item_qo6v80" TargetMode="External"/><Relationship Id="rId37" Type="http://schemas.openxmlformats.org/officeDocument/2006/relationships/hyperlink" Target="https://library.mededtech.ru/rest/documents/KP382_2/#table_sf17c2" TargetMode="External"/><Relationship Id="rId38" Type="http://schemas.openxmlformats.org/officeDocument/2006/relationships/hyperlink" Target="https://library.mededtech.ru/rest/documents/KP382_2/#list_item_hgbe5u" TargetMode="External"/><Relationship Id="rId39" Type="http://schemas.openxmlformats.org/officeDocument/2006/relationships/hyperlink" Target="https://library.mededtech.ru/rest/documents/algosd25/" TargetMode="External"/><Relationship Id="rId40" Type="http://schemas.openxmlformats.org/officeDocument/2006/relationships/hyperlink" Target="https://library.mededtech.ru/rest/documents/algosd25/#paragraph_v7ub4j" TargetMode="External"/><Relationship Id="rId4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